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C63" w:rsidRDefault="00B55CA0" w:rsidP="00A320FE">
      <w:pPr>
        <w:rPr>
          <w:rFonts w:ascii="Arial" w:hAnsi="Arial"/>
        </w:rPr>
      </w:pPr>
      <w:bookmarkStart w:id="0" w:name="_GoBack"/>
      <w:bookmarkEnd w:id="0"/>
      <w:r w:rsidRPr="00B55CA0">
        <w:rPr>
          <w:rFonts w:ascii="Arial" w:hAnsi="Arial"/>
          <w:highlight w:val="yellow"/>
        </w:rPr>
        <w:t>Bitte passen Sie bei gelb hinterlegten Feldern das. Formular ggf. an.</w:t>
      </w:r>
    </w:p>
    <w:p w:rsidR="00B55CA0" w:rsidRDefault="00B55CA0" w:rsidP="00A320FE">
      <w:pPr>
        <w:rPr>
          <w:rFonts w:ascii="Arial" w:hAnsi="Arial"/>
        </w:rPr>
      </w:pPr>
    </w:p>
    <w:p w:rsidR="00CF1C63" w:rsidRDefault="002E4DA2" w:rsidP="00A320FE">
      <w:pPr>
        <w:tabs>
          <w:tab w:val="right" w:pos="9581"/>
        </w:tabs>
        <w:rPr>
          <w:rFonts w:ascii="Arial" w:hAnsi="Arial"/>
        </w:rPr>
      </w:pPr>
      <w:r>
        <w:rPr>
          <w:rFonts w:ascii="Arial" w:hAnsi="Arial"/>
        </w:rPr>
        <w:t>……………………………………..</w:t>
      </w:r>
      <w:r>
        <w:rPr>
          <w:rFonts w:ascii="Arial" w:hAnsi="Arial"/>
        </w:rPr>
        <w:tab/>
        <w:t>…………………………………...</w:t>
      </w:r>
    </w:p>
    <w:p w:rsidR="00CF1C63" w:rsidRDefault="002E4DA2" w:rsidP="00A320FE">
      <w:pPr>
        <w:tabs>
          <w:tab w:val="right" w:pos="9581"/>
        </w:tabs>
        <w:rPr>
          <w:rFonts w:ascii="Arial" w:hAnsi="Arial"/>
        </w:rPr>
      </w:pPr>
      <w:r>
        <w:rPr>
          <w:rFonts w:ascii="Arial" w:hAnsi="Arial"/>
        </w:rPr>
        <w:t>Name, Vorname</w:t>
      </w:r>
      <w:r>
        <w:rPr>
          <w:rFonts w:ascii="Arial" w:hAnsi="Arial"/>
        </w:rPr>
        <w:tab/>
        <w:t>Ort, Datum</w:t>
      </w:r>
    </w:p>
    <w:p w:rsidR="00CF1C63" w:rsidRDefault="00CF1C63" w:rsidP="00A320FE">
      <w:pPr>
        <w:rPr>
          <w:rFonts w:ascii="Arial" w:hAnsi="Arial"/>
        </w:rPr>
      </w:pPr>
    </w:p>
    <w:p w:rsidR="00CF1C63" w:rsidRDefault="002E4DA2" w:rsidP="00A320FE">
      <w:pPr>
        <w:rPr>
          <w:rFonts w:ascii="Arial" w:hAnsi="Arial"/>
        </w:rPr>
      </w:pPr>
      <w:r>
        <w:rPr>
          <w:rFonts w:ascii="Arial" w:hAnsi="Arial"/>
        </w:rPr>
        <w:t>……………………………………….</w:t>
      </w:r>
    </w:p>
    <w:p w:rsidR="00CF1C63" w:rsidRDefault="002E4DA2" w:rsidP="00A320FE">
      <w:pPr>
        <w:rPr>
          <w:rFonts w:ascii="Arial" w:hAnsi="Arial"/>
        </w:rPr>
      </w:pPr>
      <w:r>
        <w:rPr>
          <w:rFonts w:ascii="Arial" w:hAnsi="Arial"/>
        </w:rPr>
        <w:t>Straße</w:t>
      </w:r>
    </w:p>
    <w:p w:rsidR="00CF1C63" w:rsidRDefault="00CF1C63" w:rsidP="00A320FE">
      <w:pPr>
        <w:rPr>
          <w:rFonts w:ascii="Arial" w:hAnsi="Arial"/>
        </w:rPr>
      </w:pPr>
    </w:p>
    <w:p w:rsidR="00CF1C63" w:rsidRDefault="002E4DA2" w:rsidP="00A320FE">
      <w:pPr>
        <w:rPr>
          <w:rFonts w:ascii="Arial" w:hAnsi="Arial"/>
        </w:rPr>
      </w:pPr>
      <w:r>
        <w:rPr>
          <w:rFonts w:ascii="Arial" w:hAnsi="Arial"/>
        </w:rPr>
        <w:t>………………………………………...</w:t>
      </w:r>
    </w:p>
    <w:p w:rsidR="00CF1C63" w:rsidRDefault="002E4DA2" w:rsidP="00A320FE">
      <w:pPr>
        <w:rPr>
          <w:rFonts w:ascii="Arial" w:hAnsi="Arial"/>
        </w:rPr>
      </w:pPr>
      <w:r>
        <w:rPr>
          <w:rFonts w:ascii="Arial" w:hAnsi="Arial"/>
        </w:rPr>
        <w:t>PLZ, Ort</w:t>
      </w:r>
    </w:p>
    <w:p w:rsidR="00CF1C63" w:rsidRDefault="00CF1C63" w:rsidP="00A320FE">
      <w:pPr>
        <w:rPr>
          <w:rFonts w:ascii="Arial" w:hAnsi="Arial"/>
        </w:rPr>
      </w:pPr>
    </w:p>
    <w:p w:rsidR="00CF1C63" w:rsidRDefault="00CF1C63" w:rsidP="00A320FE">
      <w:pPr>
        <w:rPr>
          <w:rFonts w:ascii="Arial" w:hAnsi="Arial"/>
        </w:rPr>
      </w:pPr>
    </w:p>
    <w:p w:rsidR="00CF1C63" w:rsidRDefault="002E4DA2" w:rsidP="00C44BB9">
      <w:pPr>
        <w:spacing w:after="120"/>
        <w:rPr>
          <w:rFonts w:ascii="Arial" w:hAnsi="Arial"/>
        </w:rPr>
      </w:pPr>
      <w:r>
        <w:rPr>
          <w:rFonts w:ascii="Arial" w:hAnsi="Arial"/>
        </w:rPr>
        <w:t>Senat der Freien und Hansestadt Hamburg</w:t>
      </w:r>
    </w:p>
    <w:p w:rsidR="00CF1C63" w:rsidRDefault="002E4DA2" w:rsidP="00C44BB9">
      <w:pPr>
        <w:spacing w:after="120"/>
        <w:rPr>
          <w:rFonts w:ascii="Arial" w:hAnsi="Arial"/>
        </w:rPr>
      </w:pPr>
      <w:r>
        <w:rPr>
          <w:rFonts w:ascii="Arial" w:hAnsi="Arial"/>
        </w:rPr>
        <w:t>Personalamt</w:t>
      </w:r>
    </w:p>
    <w:p w:rsidR="00CF1C63" w:rsidRDefault="002E4DA2" w:rsidP="00C44BB9">
      <w:pPr>
        <w:spacing w:after="120"/>
        <w:rPr>
          <w:rFonts w:ascii="Arial" w:hAnsi="Arial"/>
        </w:rPr>
      </w:pPr>
      <w:r>
        <w:rPr>
          <w:rFonts w:ascii="Arial" w:hAnsi="Arial"/>
        </w:rPr>
        <w:t>Steckelhörn 12</w:t>
      </w:r>
    </w:p>
    <w:p w:rsidR="00CF1C63" w:rsidRDefault="002E4DA2" w:rsidP="00A320FE">
      <w:pPr>
        <w:rPr>
          <w:rFonts w:ascii="Arial" w:hAnsi="Arial"/>
        </w:rPr>
      </w:pPr>
      <w:r>
        <w:rPr>
          <w:rFonts w:ascii="Arial" w:hAnsi="Arial"/>
        </w:rPr>
        <w:t>20457 Hamburg</w:t>
      </w:r>
    </w:p>
    <w:p w:rsidR="00CF1C63" w:rsidRDefault="00CF1C63" w:rsidP="00A320FE">
      <w:pPr>
        <w:rPr>
          <w:rFonts w:ascii="Arial" w:hAnsi="Arial"/>
        </w:rPr>
      </w:pPr>
    </w:p>
    <w:p w:rsidR="00CF1C63" w:rsidRDefault="00CF1C63">
      <w:pPr>
        <w:spacing w:after="57" w:line="276" w:lineRule="auto"/>
        <w:rPr>
          <w:rFonts w:ascii="Arial" w:hAnsi="Arial"/>
        </w:rPr>
      </w:pPr>
    </w:p>
    <w:p w:rsidR="00CF1C63" w:rsidRDefault="00CF1C63">
      <w:pPr>
        <w:spacing w:after="57" w:line="276" w:lineRule="auto"/>
        <w:rPr>
          <w:rFonts w:ascii="Arial" w:hAnsi="Arial"/>
        </w:rPr>
      </w:pPr>
    </w:p>
    <w:p w:rsidR="00CF1C63" w:rsidRDefault="002E4DA2">
      <w:pPr>
        <w:spacing w:after="57" w:line="276" w:lineRule="auto"/>
        <w:rPr>
          <w:rFonts w:ascii="Arial" w:hAnsi="Arial"/>
        </w:rPr>
      </w:pPr>
      <w:r>
        <w:rPr>
          <w:rFonts w:ascii="Arial" w:hAnsi="Arial"/>
        </w:rPr>
        <w:t>Personal-Nr.: ………………………………...</w:t>
      </w:r>
    </w:p>
    <w:p w:rsidR="00CF1C63" w:rsidRDefault="00542E7D">
      <w:pPr>
        <w:spacing w:after="57" w:line="276" w:lineRule="auto"/>
        <w:rPr>
          <w:rFonts w:ascii="Arial" w:hAnsi="Arial"/>
        </w:rPr>
      </w:pPr>
      <w:r>
        <w:rPr>
          <w:rFonts w:ascii="Arial" w:hAnsi="Arial"/>
        </w:rPr>
        <w:t xml:space="preserve">Antrag auf amtsangemessene </w:t>
      </w:r>
      <w:r w:rsidRPr="00B55CA0">
        <w:rPr>
          <w:rFonts w:ascii="Arial" w:hAnsi="Arial"/>
          <w:highlight w:val="yellow"/>
        </w:rPr>
        <w:t>Besoldung</w:t>
      </w:r>
      <w:r w:rsidR="00B55CA0" w:rsidRPr="00B55CA0">
        <w:rPr>
          <w:rFonts w:ascii="Arial" w:hAnsi="Arial"/>
          <w:highlight w:val="yellow"/>
        </w:rPr>
        <w:t>/Versorgung</w:t>
      </w:r>
      <w:r>
        <w:rPr>
          <w:rFonts w:ascii="Arial" w:hAnsi="Arial"/>
        </w:rPr>
        <w:t xml:space="preserve"> für das Jahr 2021</w:t>
      </w:r>
    </w:p>
    <w:p w:rsidR="00CF1C63" w:rsidRDefault="00CF1C63">
      <w:pPr>
        <w:spacing w:after="57" w:line="276" w:lineRule="auto"/>
        <w:rPr>
          <w:rFonts w:ascii="Arial" w:hAnsi="Arial"/>
        </w:rPr>
      </w:pPr>
    </w:p>
    <w:p w:rsidR="00CF1C63" w:rsidRDefault="00CF1C63" w:rsidP="002E4DA2">
      <w:pPr>
        <w:spacing w:after="120" w:line="276" w:lineRule="auto"/>
        <w:rPr>
          <w:rFonts w:ascii="Arial" w:hAnsi="Arial"/>
        </w:rPr>
      </w:pPr>
    </w:p>
    <w:p w:rsidR="00CF1C63" w:rsidRDefault="002E4DA2" w:rsidP="002E4DA2">
      <w:pPr>
        <w:spacing w:after="120" w:line="276" w:lineRule="auto"/>
        <w:rPr>
          <w:rFonts w:ascii="Arial" w:hAnsi="Arial"/>
        </w:rPr>
      </w:pPr>
      <w:r>
        <w:rPr>
          <w:rFonts w:ascii="Arial" w:hAnsi="Arial"/>
        </w:rPr>
        <w:t>Sehr geehrte Damen und Herren,</w:t>
      </w:r>
    </w:p>
    <w:p w:rsidR="00CF1C63" w:rsidRDefault="00CF1C63" w:rsidP="002E4DA2">
      <w:pPr>
        <w:spacing w:after="120" w:line="276" w:lineRule="auto"/>
        <w:rPr>
          <w:rFonts w:ascii="Arial" w:hAnsi="Arial"/>
        </w:rPr>
      </w:pPr>
    </w:p>
    <w:p w:rsidR="00CF1C63" w:rsidRDefault="002E4DA2" w:rsidP="005A16E7">
      <w:pPr>
        <w:spacing w:after="120" w:line="276" w:lineRule="auto"/>
        <w:rPr>
          <w:rFonts w:ascii="Arial" w:hAnsi="Arial"/>
        </w:rPr>
      </w:pPr>
      <w:r>
        <w:rPr>
          <w:rFonts w:ascii="Arial" w:hAnsi="Arial"/>
        </w:rPr>
        <w:t>hiermit beantrage</w:t>
      </w:r>
      <w:r w:rsidR="005A16E7">
        <w:rPr>
          <w:rFonts w:ascii="Arial" w:hAnsi="Arial"/>
        </w:rPr>
        <w:t xml:space="preserve"> ich</w:t>
      </w:r>
      <w:r>
        <w:rPr>
          <w:rFonts w:ascii="Arial" w:hAnsi="Arial"/>
        </w:rPr>
        <w:t>,</w:t>
      </w:r>
    </w:p>
    <w:p w:rsidR="001735A8" w:rsidRDefault="001735A8" w:rsidP="005A16E7">
      <w:pPr>
        <w:spacing w:after="120" w:line="276" w:lineRule="auto"/>
        <w:rPr>
          <w:rFonts w:ascii="Arial" w:hAnsi="Arial"/>
        </w:rPr>
      </w:pPr>
    </w:p>
    <w:p w:rsidR="001735A8" w:rsidRDefault="002E4DA2" w:rsidP="001735A8">
      <w:pPr>
        <w:spacing w:after="120" w:line="276" w:lineRule="auto"/>
        <w:ind w:left="851"/>
        <w:jc w:val="both"/>
        <w:rPr>
          <w:rFonts w:ascii="Arial" w:hAnsi="Arial"/>
        </w:rPr>
      </w:pPr>
      <w:r>
        <w:rPr>
          <w:rFonts w:ascii="Arial" w:hAnsi="Arial"/>
        </w:rPr>
        <w:t xml:space="preserve">mich </w:t>
      </w:r>
      <w:r w:rsidR="005A16E7">
        <w:rPr>
          <w:rFonts w:ascii="Arial" w:hAnsi="Arial"/>
        </w:rPr>
        <w:t>im Jahr 2021</w:t>
      </w:r>
      <w:r w:rsidR="00C812A5">
        <w:rPr>
          <w:rFonts w:ascii="Arial" w:hAnsi="Arial"/>
        </w:rPr>
        <w:t xml:space="preserve"> </w:t>
      </w:r>
      <w:r>
        <w:rPr>
          <w:rFonts w:ascii="Arial" w:hAnsi="Arial"/>
        </w:rPr>
        <w:t>amtsangemessen</w:t>
      </w:r>
      <w:r w:rsidR="001735A8">
        <w:rPr>
          <w:rFonts w:ascii="Arial" w:hAnsi="Arial"/>
        </w:rPr>
        <w:t xml:space="preserve"> zu alimentieren sowie</w:t>
      </w:r>
    </w:p>
    <w:p w:rsidR="001735A8" w:rsidRDefault="001735A8" w:rsidP="001735A8">
      <w:pPr>
        <w:spacing w:after="120" w:line="276" w:lineRule="auto"/>
        <w:ind w:left="851"/>
        <w:jc w:val="both"/>
        <w:rPr>
          <w:rFonts w:ascii="Arial" w:hAnsi="Arial"/>
        </w:rPr>
      </w:pPr>
    </w:p>
    <w:p w:rsidR="00CF1C63" w:rsidRDefault="002E4DA2" w:rsidP="001735A8">
      <w:pPr>
        <w:spacing w:after="120" w:line="276" w:lineRule="auto"/>
        <w:ind w:left="851"/>
        <w:jc w:val="both"/>
        <w:rPr>
          <w:rFonts w:ascii="Arial" w:hAnsi="Arial"/>
        </w:rPr>
      </w:pPr>
      <w:r>
        <w:rPr>
          <w:rFonts w:ascii="Arial" w:hAnsi="Arial"/>
        </w:rPr>
        <w:t xml:space="preserve">das Ruhen des </w:t>
      </w:r>
      <w:r w:rsidR="001735A8">
        <w:rPr>
          <w:rFonts w:ascii="Arial" w:hAnsi="Arial"/>
        </w:rPr>
        <w:t>Antrags</w:t>
      </w:r>
      <w:r>
        <w:rPr>
          <w:rFonts w:ascii="Arial" w:hAnsi="Arial"/>
        </w:rPr>
        <w:t>verfahrens.</w:t>
      </w:r>
    </w:p>
    <w:p w:rsidR="001735A8" w:rsidRDefault="001735A8" w:rsidP="001735A8">
      <w:pPr>
        <w:spacing w:after="120" w:line="276" w:lineRule="auto"/>
        <w:ind w:left="851"/>
        <w:jc w:val="both"/>
        <w:rPr>
          <w:rFonts w:ascii="Arial" w:hAnsi="Arial"/>
        </w:rPr>
      </w:pPr>
    </w:p>
    <w:p w:rsidR="00CF1C63" w:rsidRDefault="002E4DA2" w:rsidP="000D3A00">
      <w:pPr>
        <w:spacing w:after="120" w:line="360" w:lineRule="auto"/>
        <w:jc w:val="both"/>
        <w:rPr>
          <w:rFonts w:ascii="Arial" w:hAnsi="Arial"/>
        </w:rPr>
      </w:pPr>
      <w:r>
        <w:rPr>
          <w:rFonts w:ascii="Arial" w:hAnsi="Arial"/>
        </w:rPr>
        <w:t>Begründung:</w:t>
      </w:r>
    </w:p>
    <w:p w:rsidR="00CF1C63" w:rsidRDefault="002E4DA2" w:rsidP="000D3A00">
      <w:pPr>
        <w:spacing w:after="120" w:line="360" w:lineRule="auto"/>
        <w:jc w:val="both"/>
        <w:rPr>
          <w:rFonts w:hint="eastAsia"/>
        </w:rPr>
      </w:pPr>
      <w:r>
        <w:rPr>
          <w:rFonts w:ascii="Arial" w:hAnsi="Arial"/>
        </w:rPr>
        <w:t>In seiner Entscheidung vom 5. Mai 2015 (2 BvL 17/09 u.a., BGBl. I 2015, 728) hat das Bundesverfassungsgericht Grundsätze für die (mehrstu</w:t>
      </w:r>
      <w:r w:rsidR="001C1F27">
        <w:rPr>
          <w:rFonts w:ascii="Arial" w:hAnsi="Arial"/>
        </w:rPr>
        <w:t>fige) Prüfung einer verfassungs</w:t>
      </w:r>
      <w:r>
        <w:rPr>
          <w:rFonts w:ascii="Arial" w:hAnsi="Arial"/>
        </w:rPr>
        <w:t>widrigen Unteralimentation von Richterinnen und Richter</w:t>
      </w:r>
      <w:r w:rsidR="001C1F27">
        <w:rPr>
          <w:rFonts w:ascii="Arial" w:hAnsi="Arial"/>
        </w:rPr>
        <w:t>n, Staatsanwältinnen und Staats</w:t>
      </w:r>
      <w:r>
        <w:rPr>
          <w:rFonts w:ascii="Arial" w:hAnsi="Arial"/>
        </w:rPr>
        <w:t xml:space="preserve">anwälten aufgestellt. Das Bundesverfassungsgericht hat mit Beschluss vom 4. Mai 2020 (2 BvL 4/18) seine Rechtsprechung aus dem Jahr 2015 weiter präzisiert. Insbesondere hat das Bundesverfassungsgericht klargestellt, dass bereits bei </w:t>
      </w:r>
      <w:r>
        <w:rPr>
          <w:rFonts w:ascii="Arial" w:hAnsi="Arial"/>
          <w:u w:val="single"/>
        </w:rPr>
        <w:t>einem</w:t>
      </w:r>
      <w:r>
        <w:rPr>
          <w:rFonts w:ascii="Arial" w:hAnsi="Arial"/>
        </w:rPr>
        <w:t xml:space="preserve"> erfüllten Parameter der ersten Prüfungsstufe die Ergebnisse der </w:t>
      </w:r>
      <w:r>
        <w:rPr>
          <w:rFonts w:ascii="Arial" w:hAnsi="Arial"/>
        </w:rPr>
        <w:lastRenderedPageBreak/>
        <w:t>ersten Stufe insgesamt zusammen mit den auf der zweiten Stufe ausgewerteten alimentationsrelevant</w:t>
      </w:r>
      <w:r w:rsidR="001C1F27">
        <w:rPr>
          <w:rFonts w:ascii="Arial" w:hAnsi="Arial"/>
        </w:rPr>
        <w:t>en Kriterien im Rahmen einer Ge</w:t>
      </w:r>
      <w:r>
        <w:rPr>
          <w:rFonts w:ascii="Arial" w:hAnsi="Arial"/>
        </w:rPr>
        <w:t>samtwürdigung eingehend zu würdigen sind (2 BvL 4/1</w:t>
      </w:r>
      <w:r w:rsidR="001C1F27">
        <w:rPr>
          <w:rFonts w:ascii="Arial" w:hAnsi="Arial"/>
        </w:rPr>
        <w:t>8 Rn. 85). Zudem hat das Bundes</w:t>
      </w:r>
      <w:r>
        <w:rPr>
          <w:rFonts w:ascii="Arial" w:hAnsi="Arial"/>
        </w:rPr>
        <w:t>verfassungsgericht den systeminternen Besoldungsvergleich (4. Parameter der ersten Stufe) näher präzisiert. Hier hat die Missachtung des g</w:t>
      </w:r>
      <w:r w:rsidR="001C1F27">
        <w:rPr>
          <w:rFonts w:ascii="Arial" w:hAnsi="Arial"/>
        </w:rPr>
        <w:t>ebotenen Mindestabstands der un</w:t>
      </w:r>
      <w:r>
        <w:rPr>
          <w:rFonts w:ascii="Arial" w:hAnsi="Arial"/>
        </w:rPr>
        <w:t>tersten Besoldungsgruppe zum Grundsicherungsniveau indizielle Bedeutung für eine ver</w:t>
      </w:r>
      <w:r>
        <w:rPr>
          <w:rFonts w:ascii="Arial" w:hAnsi="Arial"/>
        </w:rPr>
        <w:softHyphen/>
        <w:t>fassungswidrige Unteralimentation auch für die Besoldung von Richterinnen und Richtern, Staatsanwältinnen und Staatsanwälten.</w:t>
      </w:r>
    </w:p>
    <w:p w:rsidR="00CF1C63" w:rsidRDefault="001C1F27" w:rsidP="000D3A00">
      <w:pPr>
        <w:spacing w:after="120" w:line="360" w:lineRule="auto"/>
        <w:jc w:val="both"/>
        <w:rPr>
          <w:rFonts w:ascii="Arial" w:hAnsi="Arial"/>
        </w:rPr>
      </w:pPr>
      <w:r>
        <w:rPr>
          <w:rFonts w:ascii="Arial" w:hAnsi="Arial"/>
          <w:noProof/>
          <w:lang w:eastAsia="de-DE" w:bidi="ar-SA"/>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233680</wp:posOffset>
                </wp:positionV>
                <wp:extent cx="247650" cy="200025"/>
                <wp:effectExtent l="0" t="0" r="19050" b="28575"/>
                <wp:wrapNone/>
                <wp:docPr id="1" name="Form1"/>
                <wp:cNvGraphicFramePr/>
                <a:graphic xmlns:a="http://schemas.openxmlformats.org/drawingml/2006/main">
                  <a:graphicData uri="http://schemas.microsoft.com/office/word/2010/wordprocessingShape">
                    <wps:wsp>
                      <wps:cNvSpPr/>
                      <wps:spPr>
                        <a:xfrm>
                          <a:off x="0" y="0"/>
                          <a:ext cx="247650" cy="20002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noFill/>
                        <a:ln w="12701" cap="flat">
                          <a:solidFill>
                            <a:srgbClr val="3465A4"/>
                          </a:solidFill>
                          <a:prstDash val="solid"/>
                          <a:miter/>
                        </a:ln>
                      </wps:spPr>
                      <wps:txbx>
                        <w:txbxContent>
                          <w:p w:rsidR="00CF1C63" w:rsidRDefault="00CF1C63">
                            <w:pPr>
                              <w:rPr>
                                <w:rFonts w:hint="eastAsia"/>
                              </w:rPr>
                            </w:pPr>
                          </w:p>
                        </w:txbxContent>
                      </wps:txbx>
                      <wps:bodyPr vert="horz"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id="Form1" o:spid="_x0000_s1026" style="position:absolute;left:0;text-align:left;margin-left:1.8pt;margin-top:18.4pt;width:19.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" adj="-11796480,,5400" path="m,l21600,r,21600l,21600,,xe" filled="f" strokecolor="#3465a4" strokeweight=".35281mm">
                <v:stroke joinstyle="miter"/>
                <v:formulas/>
                <v:path arrowok="t" o:connecttype="custom" o:connectlocs="123825,0;247650,100013;123825,200025;0,100013" o:connectangles="270,0,90,180" textboxrect="0,0,21600,21600"/>
                <v:textbox inset="0,0,0,0">
                  <w:txbxContent>
                    <w:p w:rsidR="00CF1C63" w:rsidRDefault="00CF1C63">
                      <w:pPr>
                        <w:rPr>
                          <w:rFonts w:hint="eastAsia"/>
                        </w:rPr>
                      </w:pPr>
                    </w:p>
                  </w:txbxContent>
                </v:textbox>
              </v:shape>
            </w:pict>
          </mc:Fallback>
        </mc:AlternateContent>
      </w:r>
    </w:p>
    <w:p w:rsidR="00CF1C63" w:rsidRDefault="002E4DA2" w:rsidP="000D3A00">
      <w:pPr>
        <w:spacing w:after="120" w:line="360" w:lineRule="auto"/>
        <w:ind w:left="624"/>
        <w:jc w:val="both"/>
        <w:rPr>
          <w:rFonts w:hint="eastAsia"/>
        </w:rPr>
      </w:pPr>
      <w:r>
        <w:rPr>
          <w:rFonts w:ascii="Arial" w:hAnsi="Arial"/>
        </w:rPr>
        <w:t>Ich habe mehr als zwei unterhaltsberechtigte Kinder. Dieser Widerspruch und Antrag dient zudem der Sicherung meiner Rechte mit Blick auf erhebliche Zweifel daran, ob die Zuschläge für das dritte und jedes weitere Kin</w:t>
      </w:r>
      <w:r w:rsidR="001C1F27">
        <w:rPr>
          <w:rFonts w:ascii="Arial" w:hAnsi="Arial"/>
        </w:rPr>
        <w:t>d den verfassungsrechtlichen An</w:t>
      </w:r>
      <w:r>
        <w:rPr>
          <w:rFonts w:ascii="Arial" w:hAnsi="Arial"/>
        </w:rPr>
        <w:t>forderungen entsprechen. Insbesondere verweise ich auf die nach dem Beschluss des Bundesverfassungsgerichts vom 4. Mai 2020 (2 BvL 6/17) maßgeblichen Kriterien.</w:t>
      </w:r>
    </w:p>
    <w:p w:rsidR="00CF1C63" w:rsidRDefault="00CF1C63" w:rsidP="000D3A00">
      <w:pPr>
        <w:spacing w:after="120" w:line="360" w:lineRule="auto"/>
        <w:jc w:val="both"/>
        <w:rPr>
          <w:rFonts w:ascii="Arial" w:hAnsi="Arial"/>
        </w:rPr>
      </w:pPr>
    </w:p>
    <w:p w:rsidR="00CF1C63" w:rsidRDefault="002E4DA2" w:rsidP="000D3A00">
      <w:pPr>
        <w:spacing w:after="120" w:line="360" w:lineRule="auto"/>
        <w:jc w:val="both"/>
        <w:rPr>
          <w:rFonts w:ascii="Arial" w:hAnsi="Arial"/>
        </w:rPr>
      </w:pPr>
      <w:r>
        <w:rPr>
          <w:rFonts w:ascii="Arial" w:hAnsi="Arial"/>
        </w:rPr>
        <w:t>Aus diesen Entscheidungen ergeben sich Zweifel an der</w:t>
      </w:r>
      <w:r w:rsidR="001C1F27">
        <w:rPr>
          <w:rFonts w:ascii="Arial" w:hAnsi="Arial"/>
        </w:rPr>
        <w:t xml:space="preserve"> Verfassungsmäßigkeit der </w:t>
      </w:r>
      <w:r w:rsidR="001C1F27" w:rsidRPr="00B55CA0">
        <w:rPr>
          <w:rFonts w:ascii="Arial" w:hAnsi="Arial"/>
          <w:highlight w:val="yellow"/>
        </w:rPr>
        <w:t>Besol</w:t>
      </w:r>
      <w:r w:rsidRPr="00B55CA0">
        <w:rPr>
          <w:rFonts w:ascii="Arial" w:hAnsi="Arial"/>
          <w:highlight w:val="yellow"/>
        </w:rPr>
        <w:t>dung/Versorgung.</w:t>
      </w:r>
    </w:p>
    <w:p w:rsidR="00CF1C63" w:rsidRDefault="00CF1C63" w:rsidP="000D3A00">
      <w:pPr>
        <w:spacing w:after="120" w:line="360" w:lineRule="auto"/>
        <w:jc w:val="both"/>
        <w:rPr>
          <w:rFonts w:ascii="Arial" w:hAnsi="Arial"/>
        </w:rPr>
      </w:pPr>
    </w:p>
    <w:p w:rsidR="00CF1C63" w:rsidRDefault="002E4DA2" w:rsidP="001735A8">
      <w:pPr>
        <w:spacing w:after="120" w:line="360" w:lineRule="auto"/>
        <w:jc w:val="both"/>
        <w:rPr>
          <w:rFonts w:ascii="Arial" w:hAnsi="Arial"/>
        </w:rPr>
      </w:pPr>
      <w:r>
        <w:rPr>
          <w:rFonts w:ascii="Arial" w:hAnsi="Arial"/>
        </w:rPr>
        <w:t xml:space="preserve">Die amtsangemessene Besoldung ist bereits Gegenstand von Musterverfahren bei dem Verwaltungsgericht Hamburg. </w:t>
      </w:r>
    </w:p>
    <w:p w:rsidR="00CF1C63" w:rsidRDefault="001860AF" w:rsidP="000D3A00">
      <w:pPr>
        <w:spacing w:after="120" w:line="360" w:lineRule="auto"/>
        <w:jc w:val="both"/>
        <w:rPr>
          <w:rFonts w:ascii="Arial" w:hAnsi="Arial"/>
        </w:rPr>
      </w:pPr>
      <w:r>
        <w:rPr>
          <w:rFonts w:ascii="Arial" w:hAnsi="Arial"/>
        </w:rPr>
        <w:t>Daher</w:t>
      </w:r>
      <w:r w:rsidR="002E4DA2">
        <w:rPr>
          <w:rFonts w:ascii="Arial" w:hAnsi="Arial"/>
        </w:rPr>
        <w:t xml:space="preserve"> bitte ich, meinen Antrag bis zur rechtskräftigen Entscheidung der anhängigen Musterverfahren ruhen zu lassen, auf die Ein</w:t>
      </w:r>
      <w:r w:rsidR="001C1F27">
        <w:rPr>
          <w:rFonts w:ascii="Arial" w:hAnsi="Arial"/>
        </w:rPr>
        <w:t>rede der Verjährung zu verzich</w:t>
      </w:r>
      <w:r w:rsidR="002E4DA2">
        <w:rPr>
          <w:rFonts w:ascii="Arial" w:hAnsi="Arial"/>
        </w:rPr>
        <w:t>ten und mir dies schriftlich zu bestätigen.</w:t>
      </w:r>
    </w:p>
    <w:p w:rsidR="00CF1C63" w:rsidRDefault="00CF1C63" w:rsidP="000D3A00">
      <w:pPr>
        <w:spacing w:after="120" w:line="360" w:lineRule="auto"/>
        <w:jc w:val="both"/>
        <w:rPr>
          <w:rFonts w:ascii="Arial" w:hAnsi="Arial"/>
        </w:rPr>
      </w:pPr>
    </w:p>
    <w:p w:rsidR="00CF1C63" w:rsidRDefault="002E4DA2" w:rsidP="000D3A00">
      <w:pPr>
        <w:spacing w:after="120" w:line="360" w:lineRule="auto"/>
        <w:jc w:val="both"/>
        <w:rPr>
          <w:rFonts w:ascii="Arial" w:hAnsi="Arial"/>
        </w:rPr>
      </w:pPr>
      <w:r>
        <w:rPr>
          <w:rFonts w:ascii="Arial" w:hAnsi="Arial"/>
        </w:rPr>
        <w:t>Mit freundlichen Grüßen</w:t>
      </w:r>
    </w:p>
    <w:p w:rsidR="00CF1C63" w:rsidRDefault="00CF1C63" w:rsidP="000D3A00">
      <w:pPr>
        <w:spacing w:after="120" w:line="360" w:lineRule="auto"/>
        <w:jc w:val="both"/>
        <w:rPr>
          <w:rFonts w:ascii="Arial" w:hAnsi="Arial"/>
        </w:rPr>
      </w:pPr>
    </w:p>
    <w:p w:rsidR="000D3A00" w:rsidRDefault="000D3A00" w:rsidP="000D3A00">
      <w:pPr>
        <w:spacing w:after="120"/>
        <w:jc w:val="both"/>
        <w:rPr>
          <w:rFonts w:ascii="Arial" w:hAnsi="Arial"/>
        </w:rPr>
      </w:pPr>
      <w:r>
        <w:rPr>
          <w:rFonts w:ascii="Arial" w:hAnsi="Arial"/>
        </w:rPr>
        <w:t>……………………………..</w:t>
      </w:r>
    </w:p>
    <w:p w:rsidR="000D3A00" w:rsidRDefault="000D3A00" w:rsidP="000D3A00">
      <w:pPr>
        <w:spacing w:after="120"/>
        <w:jc w:val="both"/>
        <w:rPr>
          <w:rFonts w:ascii="Arial" w:hAnsi="Arial"/>
        </w:rPr>
      </w:pPr>
      <w:r>
        <w:rPr>
          <w:rFonts w:ascii="Arial" w:hAnsi="Arial"/>
        </w:rPr>
        <w:t>Unterschrift</w:t>
      </w:r>
    </w:p>
    <w:sectPr w:rsidR="000D3A00" w:rsidSect="001C1F27">
      <w:pgSz w:w="11906" w:h="16838"/>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106" w:rsidRDefault="002E4DA2">
      <w:pPr>
        <w:rPr>
          <w:rFonts w:hint="eastAsia"/>
        </w:rPr>
      </w:pPr>
      <w:r>
        <w:separator/>
      </w:r>
    </w:p>
  </w:endnote>
  <w:endnote w:type="continuationSeparator" w:id="0">
    <w:p w:rsidR="00FC4106" w:rsidRDefault="002E4D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106" w:rsidRDefault="002E4DA2">
      <w:pPr>
        <w:rPr>
          <w:rFonts w:hint="eastAsia"/>
        </w:rPr>
      </w:pPr>
      <w:r>
        <w:rPr>
          <w:color w:val="000000"/>
        </w:rPr>
        <w:separator/>
      </w:r>
    </w:p>
  </w:footnote>
  <w:footnote w:type="continuationSeparator" w:id="0">
    <w:p w:rsidR="00FC4106" w:rsidRDefault="002E4DA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A2F721D-D791-4F62-9773-96B8EEF81D63}"/>
    <w:docVar w:name="dgnword-eventsink" w:val="389111936"/>
  </w:docVars>
  <w:rsids>
    <w:rsidRoot w:val="00CF1C63"/>
    <w:rsid w:val="000D3A00"/>
    <w:rsid w:val="001735A8"/>
    <w:rsid w:val="001860AF"/>
    <w:rsid w:val="001C1F27"/>
    <w:rsid w:val="002E4DA2"/>
    <w:rsid w:val="00400306"/>
    <w:rsid w:val="00542E7D"/>
    <w:rsid w:val="005A16E7"/>
    <w:rsid w:val="007D6959"/>
    <w:rsid w:val="00811F46"/>
    <w:rsid w:val="00A320FE"/>
    <w:rsid w:val="00B46303"/>
    <w:rsid w:val="00B55CA0"/>
    <w:rsid w:val="00C44BB9"/>
    <w:rsid w:val="00C812A5"/>
    <w:rsid w:val="00CF1C63"/>
    <w:rsid w:val="00FC41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73FDC-FFD8-41E0-8DF0-7158DFF0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3"/>
        <w:sz w:val="24"/>
        <w:szCs w:val="24"/>
        <w:lang w:val="de-DE"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349</Words>
  <Characters>2201</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Freie und Hansestadt Hamburg</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 Reiner Dr.</dc:creator>
  <cp:lastModifiedBy>Hummelmeier, Heike</cp:lastModifiedBy>
  <cp:revision>2</cp:revision>
  <dcterms:created xsi:type="dcterms:W3CDTF">2021-12-01T14:47:00Z</dcterms:created>
  <dcterms:modified xsi:type="dcterms:W3CDTF">2021-12-01T14:47:00Z</dcterms:modified>
</cp:coreProperties>
</file>