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C63" w:rsidRDefault="00CF1C63" w:rsidP="00A320FE">
      <w:pPr>
        <w:rPr>
          <w:rFonts w:ascii="Arial" w:hAnsi="Arial"/>
        </w:rPr>
      </w:pPr>
      <w:bookmarkStart w:id="0" w:name="_GoBack"/>
      <w:bookmarkEnd w:id="0"/>
    </w:p>
    <w:p w:rsidR="00CF1C63" w:rsidRDefault="002E4DA2" w:rsidP="00A320FE">
      <w:pPr>
        <w:tabs>
          <w:tab w:val="right" w:pos="9581"/>
        </w:tabs>
        <w:rPr>
          <w:rFonts w:ascii="Arial" w:hAnsi="Arial"/>
        </w:rPr>
      </w:pPr>
      <w:r>
        <w:rPr>
          <w:rFonts w:ascii="Arial" w:hAnsi="Arial"/>
        </w:rPr>
        <w:t>……………………………………..</w:t>
      </w:r>
      <w:r>
        <w:rPr>
          <w:rFonts w:ascii="Arial" w:hAnsi="Arial"/>
        </w:rPr>
        <w:tab/>
        <w:t>…………………………………...</w:t>
      </w:r>
    </w:p>
    <w:p w:rsidR="00CF1C63" w:rsidRDefault="002E4DA2" w:rsidP="00A320FE">
      <w:pPr>
        <w:tabs>
          <w:tab w:val="right" w:pos="9581"/>
        </w:tabs>
        <w:rPr>
          <w:rFonts w:ascii="Arial" w:hAnsi="Arial"/>
        </w:rPr>
      </w:pPr>
      <w:r>
        <w:rPr>
          <w:rFonts w:ascii="Arial" w:hAnsi="Arial"/>
        </w:rPr>
        <w:t>Name, Vorname</w:t>
      </w:r>
      <w:r>
        <w:rPr>
          <w:rFonts w:ascii="Arial" w:hAnsi="Arial"/>
        </w:rPr>
        <w:tab/>
        <w:t>Ort, Datum</w:t>
      </w:r>
    </w:p>
    <w:p w:rsidR="00CF1C63" w:rsidRDefault="00CF1C63" w:rsidP="00A320FE">
      <w:pPr>
        <w:rPr>
          <w:rFonts w:ascii="Arial" w:hAnsi="Arial"/>
        </w:rPr>
      </w:pPr>
    </w:p>
    <w:p w:rsidR="00CF1C63" w:rsidRDefault="002E4DA2" w:rsidP="00A320FE">
      <w:pPr>
        <w:rPr>
          <w:rFonts w:ascii="Arial" w:hAnsi="Arial"/>
        </w:rPr>
      </w:pPr>
      <w:r>
        <w:rPr>
          <w:rFonts w:ascii="Arial" w:hAnsi="Arial"/>
        </w:rPr>
        <w:t>……………………………………….</w:t>
      </w:r>
    </w:p>
    <w:p w:rsidR="00CF1C63" w:rsidRDefault="002E4DA2" w:rsidP="00A320FE">
      <w:pPr>
        <w:rPr>
          <w:rFonts w:ascii="Arial" w:hAnsi="Arial"/>
        </w:rPr>
      </w:pPr>
      <w:r>
        <w:rPr>
          <w:rFonts w:ascii="Arial" w:hAnsi="Arial"/>
        </w:rPr>
        <w:t>Straße</w:t>
      </w:r>
    </w:p>
    <w:p w:rsidR="00CF1C63" w:rsidRDefault="00CF1C63" w:rsidP="00A320FE">
      <w:pPr>
        <w:rPr>
          <w:rFonts w:ascii="Arial" w:hAnsi="Arial"/>
        </w:rPr>
      </w:pPr>
    </w:p>
    <w:p w:rsidR="00CF1C63" w:rsidRDefault="002E4DA2" w:rsidP="00A320FE">
      <w:pPr>
        <w:rPr>
          <w:rFonts w:ascii="Arial" w:hAnsi="Arial"/>
        </w:rPr>
      </w:pPr>
      <w:r>
        <w:rPr>
          <w:rFonts w:ascii="Arial" w:hAnsi="Arial"/>
        </w:rPr>
        <w:t>………………………………………...</w:t>
      </w:r>
    </w:p>
    <w:p w:rsidR="00CF1C63" w:rsidRDefault="002E4DA2" w:rsidP="00A320FE">
      <w:pPr>
        <w:rPr>
          <w:rFonts w:ascii="Arial" w:hAnsi="Arial"/>
        </w:rPr>
      </w:pPr>
      <w:r>
        <w:rPr>
          <w:rFonts w:ascii="Arial" w:hAnsi="Arial"/>
        </w:rPr>
        <w:t>PLZ, Ort</w:t>
      </w:r>
    </w:p>
    <w:p w:rsidR="00CF1C63" w:rsidRDefault="00CF1C63" w:rsidP="00A320FE">
      <w:pPr>
        <w:rPr>
          <w:rFonts w:ascii="Arial" w:hAnsi="Arial"/>
        </w:rPr>
      </w:pPr>
    </w:p>
    <w:p w:rsidR="00CF1C63" w:rsidRDefault="00CF1C63" w:rsidP="00A320FE">
      <w:pPr>
        <w:rPr>
          <w:rFonts w:ascii="Arial" w:hAnsi="Arial"/>
        </w:rPr>
      </w:pPr>
    </w:p>
    <w:p w:rsidR="00CF1C63" w:rsidRDefault="002E4DA2" w:rsidP="00C44BB9">
      <w:pPr>
        <w:spacing w:after="120"/>
        <w:rPr>
          <w:rFonts w:ascii="Arial" w:hAnsi="Arial"/>
        </w:rPr>
      </w:pPr>
      <w:r>
        <w:rPr>
          <w:rFonts w:ascii="Arial" w:hAnsi="Arial"/>
        </w:rPr>
        <w:t>Senat der Freien und Hansestadt Hamburg</w:t>
      </w:r>
    </w:p>
    <w:p w:rsidR="00CF1C63" w:rsidRDefault="002E4DA2" w:rsidP="00C44BB9">
      <w:pPr>
        <w:spacing w:after="120"/>
        <w:rPr>
          <w:rFonts w:ascii="Arial" w:hAnsi="Arial"/>
        </w:rPr>
      </w:pPr>
      <w:r>
        <w:rPr>
          <w:rFonts w:ascii="Arial" w:hAnsi="Arial"/>
        </w:rPr>
        <w:t>Personalamt</w:t>
      </w:r>
    </w:p>
    <w:p w:rsidR="00CF1C63" w:rsidRDefault="002E4DA2" w:rsidP="00C44BB9">
      <w:pPr>
        <w:spacing w:after="120"/>
        <w:rPr>
          <w:rFonts w:ascii="Arial" w:hAnsi="Arial"/>
        </w:rPr>
      </w:pPr>
      <w:r>
        <w:rPr>
          <w:rFonts w:ascii="Arial" w:hAnsi="Arial"/>
        </w:rPr>
        <w:t>Steckelhörn 12</w:t>
      </w:r>
    </w:p>
    <w:p w:rsidR="00CF1C63" w:rsidRDefault="002E4DA2" w:rsidP="00A320FE">
      <w:pPr>
        <w:rPr>
          <w:rFonts w:ascii="Arial" w:hAnsi="Arial"/>
        </w:rPr>
      </w:pPr>
      <w:r>
        <w:rPr>
          <w:rFonts w:ascii="Arial" w:hAnsi="Arial"/>
        </w:rPr>
        <w:t>20457 Hamburg</w:t>
      </w:r>
    </w:p>
    <w:p w:rsidR="00CF1C63" w:rsidRDefault="00CF1C63" w:rsidP="00A320FE">
      <w:pPr>
        <w:rPr>
          <w:rFonts w:ascii="Arial" w:hAnsi="Arial"/>
        </w:rPr>
      </w:pPr>
    </w:p>
    <w:p w:rsidR="00CF1C63" w:rsidRDefault="00CF1C63">
      <w:pPr>
        <w:spacing w:after="57" w:line="276" w:lineRule="auto"/>
        <w:rPr>
          <w:rFonts w:ascii="Arial" w:hAnsi="Arial"/>
        </w:rPr>
      </w:pPr>
    </w:p>
    <w:p w:rsidR="00CF1C63" w:rsidRDefault="00CF1C63">
      <w:pPr>
        <w:spacing w:after="57" w:line="276" w:lineRule="auto"/>
        <w:rPr>
          <w:rFonts w:ascii="Arial" w:hAnsi="Arial"/>
        </w:rPr>
      </w:pPr>
    </w:p>
    <w:p w:rsidR="00CF1C63" w:rsidRDefault="002E4DA2">
      <w:pPr>
        <w:spacing w:after="57" w:line="276" w:lineRule="auto"/>
        <w:rPr>
          <w:rFonts w:ascii="Arial" w:hAnsi="Arial"/>
        </w:rPr>
      </w:pPr>
      <w:r>
        <w:rPr>
          <w:rFonts w:ascii="Arial" w:hAnsi="Arial"/>
        </w:rPr>
        <w:t>Personal-Nr.: ………………………………...</w:t>
      </w:r>
    </w:p>
    <w:p w:rsidR="00CF1C63" w:rsidRDefault="002E4DA2">
      <w:pPr>
        <w:spacing w:after="57" w:line="276" w:lineRule="auto"/>
        <w:rPr>
          <w:rFonts w:ascii="Arial" w:hAnsi="Arial"/>
        </w:rPr>
      </w:pPr>
      <w:r>
        <w:rPr>
          <w:rFonts w:ascii="Arial" w:hAnsi="Arial"/>
        </w:rPr>
        <w:t>Widerspruch gegen die Besoldung/Versorgung im Jahr 2020 und frühere Jahre</w:t>
      </w:r>
    </w:p>
    <w:p w:rsidR="00CF1C63" w:rsidRDefault="00CF1C63">
      <w:pPr>
        <w:spacing w:after="57" w:line="276" w:lineRule="auto"/>
        <w:rPr>
          <w:rFonts w:ascii="Arial" w:hAnsi="Arial"/>
        </w:rPr>
      </w:pPr>
    </w:p>
    <w:p w:rsidR="00CF1C63" w:rsidRDefault="00CF1C63" w:rsidP="002E4DA2">
      <w:pPr>
        <w:spacing w:after="120" w:line="276" w:lineRule="auto"/>
        <w:rPr>
          <w:rFonts w:ascii="Arial" w:hAnsi="Arial"/>
        </w:rPr>
      </w:pPr>
    </w:p>
    <w:p w:rsidR="00CF1C63" w:rsidRDefault="002E4DA2" w:rsidP="002E4DA2">
      <w:pPr>
        <w:spacing w:after="120" w:line="276" w:lineRule="auto"/>
        <w:rPr>
          <w:rFonts w:ascii="Arial" w:hAnsi="Arial"/>
        </w:rPr>
      </w:pPr>
      <w:r>
        <w:rPr>
          <w:rFonts w:ascii="Arial" w:hAnsi="Arial"/>
        </w:rPr>
        <w:t>Sehr geehrte Damen und Herren,</w:t>
      </w:r>
    </w:p>
    <w:p w:rsidR="00CF1C63" w:rsidRDefault="00CF1C63" w:rsidP="002E4DA2">
      <w:pPr>
        <w:spacing w:after="120" w:line="276" w:lineRule="auto"/>
        <w:rPr>
          <w:rFonts w:ascii="Arial" w:hAnsi="Arial"/>
        </w:rPr>
      </w:pPr>
    </w:p>
    <w:p w:rsidR="00CF1C63" w:rsidRDefault="002E4DA2" w:rsidP="002E4DA2">
      <w:pPr>
        <w:spacing w:after="120" w:line="276" w:lineRule="auto"/>
        <w:rPr>
          <w:rFonts w:ascii="Arial" w:hAnsi="Arial"/>
        </w:rPr>
      </w:pPr>
      <w:r>
        <w:rPr>
          <w:rFonts w:ascii="Arial" w:hAnsi="Arial"/>
        </w:rPr>
        <w:t>hiermit erhebe ich</w:t>
      </w:r>
    </w:p>
    <w:p w:rsidR="00CF1C63" w:rsidRDefault="002E4DA2" w:rsidP="002E4DA2">
      <w:pPr>
        <w:spacing w:after="120" w:line="276" w:lineRule="auto"/>
        <w:jc w:val="center"/>
        <w:rPr>
          <w:rFonts w:ascii="Arial" w:hAnsi="Arial"/>
        </w:rPr>
      </w:pPr>
      <w:r>
        <w:rPr>
          <w:rFonts w:ascii="Arial" w:hAnsi="Arial"/>
        </w:rPr>
        <w:t>Widerspruch</w:t>
      </w:r>
    </w:p>
    <w:p w:rsidR="00811F46" w:rsidRDefault="00811F46" w:rsidP="002E4DA2">
      <w:pPr>
        <w:spacing w:after="120" w:line="276" w:lineRule="auto"/>
        <w:rPr>
          <w:rFonts w:ascii="Arial" w:hAnsi="Arial"/>
        </w:rPr>
      </w:pPr>
    </w:p>
    <w:p w:rsidR="00CF1C63" w:rsidRDefault="002E4DA2" w:rsidP="002E4DA2">
      <w:pPr>
        <w:spacing w:after="120" w:line="276" w:lineRule="auto"/>
        <w:rPr>
          <w:rFonts w:ascii="Arial" w:hAnsi="Arial"/>
        </w:rPr>
      </w:pPr>
      <w:r>
        <w:rPr>
          <w:rFonts w:ascii="Arial" w:hAnsi="Arial"/>
        </w:rPr>
        <w:t>gegen die Höhe meiner Besoldung/Versorgung für das Jahr 2020 und frühere Jahre</w:t>
      </w:r>
    </w:p>
    <w:p w:rsidR="00CF1C63" w:rsidRPr="00B46303" w:rsidRDefault="002E4DA2" w:rsidP="002E4DA2">
      <w:pPr>
        <w:spacing w:after="120" w:line="276" w:lineRule="auto"/>
        <w:rPr>
          <w:rFonts w:ascii="Arial" w:hAnsi="Arial"/>
        </w:rPr>
      </w:pPr>
      <w:r>
        <w:rPr>
          <w:rFonts w:ascii="Arial" w:hAnsi="Arial"/>
        </w:rPr>
        <w:t xml:space="preserve">(vorsorglich seit dem Jahr </w:t>
      </w:r>
      <w:r w:rsidR="00811F46">
        <w:rPr>
          <w:rFonts w:ascii="Arial" w:hAnsi="Arial"/>
        </w:rPr>
        <w:t xml:space="preserve">2013 </w:t>
      </w:r>
      <w:r w:rsidR="00B46303" w:rsidRPr="00B46303">
        <w:rPr>
          <w:rFonts w:ascii="Arial" w:hAnsi="Arial"/>
          <w:i/>
        </w:rPr>
        <w:t>[</w:t>
      </w:r>
      <w:r w:rsidR="00811F46" w:rsidRPr="00B46303">
        <w:rPr>
          <w:rFonts w:ascii="Arial" w:hAnsi="Arial"/>
          <w:i/>
        </w:rPr>
        <w:t>ggf</w:t>
      </w:r>
      <w:r w:rsidR="00811F46">
        <w:rPr>
          <w:rFonts w:ascii="Arial" w:hAnsi="Arial"/>
          <w:i/>
        </w:rPr>
        <w:t>. Zeitpunkt der Einstellun</w:t>
      </w:r>
      <w:r w:rsidR="00B46303">
        <w:rPr>
          <w:rFonts w:ascii="Arial" w:hAnsi="Arial"/>
          <w:i/>
        </w:rPr>
        <w:t>g]</w:t>
      </w:r>
      <w:r w:rsidRPr="00B46303">
        <w:rPr>
          <w:rFonts w:ascii="Arial" w:hAnsi="Arial"/>
        </w:rPr>
        <w:t>)</w:t>
      </w:r>
    </w:p>
    <w:p w:rsidR="00CF1C63" w:rsidRDefault="00CF1C63" w:rsidP="002E4DA2">
      <w:pPr>
        <w:spacing w:after="120" w:line="276" w:lineRule="auto"/>
        <w:rPr>
          <w:rFonts w:ascii="Arial" w:hAnsi="Arial"/>
        </w:rPr>
      </w:pPr>
    </w:p>
    <w:p w:rsidR="00CF1C63" w:rsidRDefault="002E4DA2" w:rsidP="002E4DA2">
      <w:pPr>
        <w:keepNext/>
        <w:spacing w:after="120" w:line="276" w:lineRule="auto"/>
        <w:rPr>
          <w:rFonts w:ascii="Arial" w:hAnsi="Arial"/>
        </w:rPr>
      </w:pPr>
      <w:r>
        <w:rPr>
          <w:rFonts w:ascii="Arial" w:hAnsi="Arial"/>
        </w:rPr>
        <w:t>und beantrage,</w:t>
      </w:r>
    </w:p>
    <w:p w:rsidR="00CF1C63" w:rsidRDefault="002E4DA2" w:rsidP="00C812A5">
      <w:pPr>
        <w:spacing w:after="120" w:line="276" w:lineRule="auto"/>
        <w:ind w:left="851"/>
        <w:jc w:val="both"/>
        <w:rPr>
          <w:rFonts w:ascii="Arial" w:hAnsi="Arial"/>
        </w:rPr>
      </w:pPr>
      <w:r>
        <w:rPr>
          <w:rFonts w:ascii="Arial" w:hAnsi="Arial"/>
        </w:rPr>
        <w:t xml:space="preserve">mich rückwirkend </w:t>
      </w:r>
      <w:r w:rsidR="00C812A5">
        <w:rPr>
          <w:rFonts w:ascii="Arial" w:hAnsi="Arial"/>
        </w:rPr>
        <w:t>ab</w:t>
      </w:r>
      <w:r>
        <w:rPr>
          <w:rFonts w:ascii="Arial" w:hAnsi="Arial"/>
        </w:rPr>
        <w:t xml:space="preserve"> 1. Januar </w:t>
      </w:r>
      <w:r w:rsidR="00811F46">
        <w:rPr>
          <w:rFonts w:ascii="Arial" w:hAnsi="Arial"/>
        </w:rPr>
        <w:t xml:space="preserve">2013 </w:t>
      </w:r>
      <w:r w:rsidR="00811F46">
        <w:rPr>
          <w:rFonts w:ascii="Arial" w:hAnsi="Arial"/>
          <w:i/>
        </w:rPr>
        <w:t>(ggf. Zeitpunkt der Einstellung)</w:t>
      </w:r>
      <w:r>
        <w:rPr>
          <w:rFonts w:ascii="Arial" w:hAnsi="Arial"/>
        </w:rPr>
        <w:t xml:space="preserve"> </w:t>
      </w:r>
      <w:r w:rsidR="00C812A5">
        <w:rPr>
          <w:rFonts w:ascii="Arial" w:hAnsi="Arial"/>
        </w:rPr>
        <w:t xml:space="preserve">und Folgejahre </w:t>
      </w:r>
      <w:r>
        <w:rPr>
          <w:rFonts w:ascii="Arial" w:hAnsi="Arial"/>
        </w:rPr>
        <w:t>amtsangemessen zu alimentieren,</w:t>
      </w:r>
    </w:p>
    <w:p w:rsidR="00CF1C63" w:rsidRDefault="00CF1C63" w:rsidP="002E4DA2">
      <w:pPr>
        <w:spacing w:after="120" w:line="276" w:lineRule="auto"/>
        <w:rPr>
          <w:rFonts w:ascii="Arial" w:hAnsi="Arial"/>
        </w:rPr>
      </w:pPr>
    </w:p>
    <w:p w:rsidR="00CF1C63" w:rsidRDefault="002E4DA2" w:rsidP="002E4DA2">
      <w:pPr>
        <w:keepNext/>
        <w:spacing w:after="120" w:line="276" w:lineRule="auto"/>
        <w:rPr>
          <w:rFonts w:ascii="Arial" w:hAnsi="Arial"/>
        </w:rPr>
      </w:pPr>
      <w:r>
        <w:rPr>
          <w:rFonts w:ascii="Arial" w:hAnsi="Arial"/>
        </w:rPr>
        <w:t>ferner</w:t>
      </w:r>
    </w:p>
    <w:p w:rsidR="00CF1C63" w:rsidRDefault="002E4DA2" w:rsidP="002E4DA2">
      <w:pPr>
        <w:spacing w:after="120" w:line="276" w:lineRule="auto"/>
        <w:jc w:val="center"/>
        <w:rPr>
          <w:rFonts w:ascii="Arial" w:hAnsi="Arial"/>
        </w:rPr>
      </w:pPr>
      <w:r>
        <w:rPr>
          <w:rFonts w:ascii="Arial" w:hAnsi="Arial"/>
        </w:rPr>
        <w:t>Wiedereinsetzung in den vorigen Stand</w:t>
      </w:r>
    </w:p>
    <w:p w:rsidR="00CF1C63" w:rsidRDefault="00CF1C63" w:rsidP="002E4DA2">
      <w:pPr>
        <w:spacing w:after="120" w:line="276" w:lineRule="auto"/>
        <w:jc w:val="center"/>
        <w:rPr>
          <w:rFonts w:ascii="Arial" w:hAnsi="Arial"/>
        </w:rPr>
      </w:pPr>
    </w:p>
    <w:p w:rsidR="00CF1C63" w:rsidRDefault="002E4DA2" w:rsidP="002E4DA2">
      <w:pPr>
        <w:keepNext/>
        <w:spacing w:after="120" w:line="276" w:lineRule="auto"/>
        <w:rPr>
          <w:rFonts w:ascii="Arial" w:hAnsi="Arial"/>
        </w:rPr>
      </w:pPr>
      <w:r>
        <w:rPr>
          <w:rFonts w:ascii="Arial" w:hAnsi="Arial"/>
        </w:rPr>
        <w:t>und</w:t>
      </w:r>
    </w:p>
    <w:p w:rsidR="00CF1C63" w:rsidRDefault="002E4DA2" w:rsidP="002E4DA2">
      <w:pPr>
        <w:spacing w:after="120" w:line="276" w:lineRule="auto"/>
        <w:jc w:val="center"/>
        <w:rPr>
          <w:rFonts w:ascii="Arial" w:hAnsi="Arial"/>
        </w:rPr>
      </w:pPr>
      <w:r>
        <w:rPr>
          <w:rFonts w:ascii="Arial" w:hAnsi="Arial"/>
        </w:rPr>
        <w:t>das Ruhen des Widerspruchsverfahrens.</w:t>
      </w:r>
    </w:p>
    <w:p w:rsidR="00CF1C63" w:rsidRDefault="002E4DA2" w:rsidP="000D3A00">
      <w:pPr>
        <w:spacing w:after="120" w:line="360" w:lineRule="auto"/>
        <w:jc w:val="both"/>
        <w:rPr>
          <w:rFonts w:ascii="Arial" w:hAnsi="Arial"/>
        </w:rPr>
      </w:pPr>
      <w:r>
        <w:rPr>
          <w:rFonts w:ascii="Arial" w:hAnsi="Arial"/>
        </w:rPr>
        <w:lastRenderedPageBreak/>
        <w:t>Begründung:</w:t>
      </w:r>
    </w:p>
    <w:p w:rsidR="00CF1C63" w:rsidRDefault="00CF1C63" w:rsidP="000D3A00">
      <w:pPr>
        <w:spacing w:after="120" w:line="360" w:lineRule="auto"/>
        <w:jc w:val="both"/>
        <w:rPr>
          <w:rFonts w:ascii="Arial" w:hAnsi="Arial"/>
        </w:rPr>
      </w:pPr>
    </w:p>
    <w:p w:rsidR="00CF1C63" w:rsidRDefault="002E4DA2" w:rsidP="000D3A00">
      <w:pPr>
        <w:spacing w:after="120" w:line="360" w:lineRule="auto"/>
        <w:jc w:val="both"/>
        <w:rPr>
          <w:rFonts w:hint="eastAsia"/>
        </w:rPr>
      </w:pPr>
      <w:r>
        <w:rPr>
          <w:rFonts w:ascii="Arial" w:hAnsi="Arial"/>
        </w:rPr>
        <w:t>In seiner Entscheidung vom 5. Mai 2015 (2 BvL 17/09 u.a., BGBl. I 2015, 728) hat das Bundesverfassungsgericht Grundsätze für die (mehrstu</w:t>
      </w:r>
      <w:r w:rsidR="001C1F27">
        <w:rPr>
          <w:rFonts w:ascii="Arial" w:hAnsi="Arial"/>
        </w:rPr>
        <w:t>fige) Prüfung einer verfassungs</w:t>
      </w:r>
      <w:r>
        <w:rPr>
          <w:rFonts w:ascii="Arial" w:hAnsi="Arial"/>
        </w:rPr>
        <w:t>widrigen Unteralimentation von Richterinnen und Richter</w:t>
      </w:r>
      <w:r w:rsidR="001C1F27">
        <w:rPr>
          <w:rFonts w:ascii="Arial" w:hAnsi="Arial"/>
        </w:rPr>
        <w:t>n, Staatsanwältinnen und Staats</w:t>
      </w:r>
      <w:r>
        <w:rPr>
          <w:rFonts w:ascii="Arial" w:hAnsi="Arial"/>
        </w:rPr>
        <w:t xml:space="preserve">anwälten aufgestellt. Das Bundesverfassungsgericht hat mit Beschluss vom 4. Mai 2020 (2 BvL 4/18) seine Rechtsprechung aus dem Jahr 2015 weiter präzisiert. Insbesondere hat das Bundesverfassungsgericht klargestellt, dass bereits bei </w:t>
      </w:r>
      <w:r>
        <w:rPr>
          <w:rFonts w:ascii="Arial" w:hAnsi="Arial"/>
          <w:u w:val="single"/>
        </w:rPr>
        <w:t>einem</w:t>
      </w:r>
      <w:r>
        <w:rPr>
          <w:rFonts w:ascii="Arial" w:hAnsi="Arial"/>
        </w:rPr>
        <w:t xml:space="preserve"> erfüllten Parameter der ersten Prüfungsstufe die Ergebnisse der ersten Stufe insgesamt zusammen mit den auf der zweiten Stufe ausgewerteten alimentationsrelevant</w:t>
      </w:r>
      <w:r w:rsidR="001C1F27">
        <w:rPr>
          <w:rFonts w:ascii="Arial" w:hAnsi="Arial"/>
        </w:rPr>
        <w:t>en Kriterien im Rahmen einer Ge</w:t>
      </w:r>
      <w:r>
        <w:rPr>
          <w:rFonts w:ascii="Arial" w:hAnsi="Arial"/>
        </w:rPr>
        <w:t>samtwürdigung eingehend zu würdigen sind (2 BvL 4/1</w:t>
      </w:r>
      <w:r w:rsidR="001C1F27">
        <w:rPr>
          <w:rFonts w:ascii="Arial" w:hAnsi="Arial"/>
        </w:rPr>
        <w:t>8 Rn. 85). Zudem hat das Bundes</w:t>
      </w:r>
      <w:r>
        <w:rPr>
          <w:rFonts w:ascii="Arial" w:hAnsi="Arial"/>
        </w:rPr>
        <w:t>verfassungsgericht den systeminternen Besoldungsvergleich (4. Parameter der ersten Stufe) näher präzisiert. Hier hat die Missachtung des g</w:t>
      </w:r>
      <w:r w:rsidR="001C1F27">
        <w:rPr>
          <w:rFonts w:ascii="Arial" w:hAnsi="Arial"/>
        </w:rPr>
        <w:t>ebotenen Mindestabstands der un</w:t>
      </w:r>
      <w:r>
        <w:rPr>
          <w:rFonts w:ascii="Arial" w:hAnsi="Arial"/>
        </w:rPr>
        <w:t>tersten Besoldungsgruppe zum Grundsicherungsniveau indizielle Bedeutung für eine ver</w:t>
      </w:r>
      <w:r>
        <w:rPr>
          <w:rFonts w:ascii="Arial" w:hAnsi="Arial"/>
        </w:rPr>
        <w:softHyphen/>
        <w:t>fassungswidrige Unteralimentation auch für die Besoldung von Richterinnen und Richtern, Staatsanwältinnen und Staatsanwälten.</w:t>
      </w:r>
    </w:p>
    <w:p w:rsidR="00CF1C63" w:rsidRDefault="001C1F27" w:rsidP="000D3A00">
      <w:pPr>
        <w:spacing w:after="120" w:line="360" w:lineRule="auto"/>
        <w:jc w:val="both"/>
        <w:rPr>
          <w:rFonts w:ascii="Arial" w:hAnsi="Arial"/>
        </w:rPr>
      </w:pPr>
      <w:r>
        <w:rPr>
          <w:rFonts w:ascii="Arial" w:hAnsi="Arial"/>
          <w:noProof/>
          <w:lang w:eastAsia="de-DE" w:bidi="ar-SA"/>
        </w:rPr>
        <mc:AlternateContent>
          <mc:Choice Requires="wps">
            <w:drawing>
              <wp:anchor distT="0" distB="0" distL="114300" distR="114300" simplePos="0" relativeHeight="251658240" behindDoc="0" locked="0" layoutInCell="1" allowOverlap="1">
                <wp:simplePos x="0" y="0"/>
                <wp:positionH relativeFrom="column">
                  <wp:posOffset>22860</wp:posOffset>
                </wp:positionH>
                <wp:positionV relativeFrom="paragraph">
                  <wp:posOffset>233680</wp:posOffset>
                </wp:positionV>
                <wp:extent cx="247650" cy="200025"/>
                <wp:effectExtent l="0" t="0" r="19050" b="28575"/>
                <wp:wrapNone/>
                <wp:docPr id="1" name="Form1"/>
                <wp:cNvGraphicFramePr/>
                <a:graphic xmlns:a="http://schemas.openxmlformats.org/drawingml/2006/main">
                  <a:graphicData uri="http://schemas.microsoft.com/office/word/2010/wordprocessingShape">
                    <wps:wsp>
                      <wps:cNvSpPr/>
                      <wps:spPr>
                        <a:xfrm>
                          <a:off x="0" y="0"/>
                          <a:ext cx="247650" cy="20002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noFill/>
                        <a:ln w="12701" cap="flat">
                          <a:solidFill>
                            <a:srgbClr val="3465A4"/>
                          </a:solidFill>
                          <a:prstDash val="solid"/>
                          <a:miter/>
                        </a:ln>
                      </wps:spPr>
                      <wps:txbx>
                        <w:txbxContent>
                          <w:p w:rsidR="00CF1C63" w:rsidRDefault="00CF1C63">
                            <w:pPr>
                              <w:rPr>
                                <w:rFonts w:hint="eastAsia"/>
                              </w:rPr>
                            </w:pPr>
                          </w:p>
                        </w:txbxContent>
                      </wps:txbx>
                      <wps:bodyPr vert="horz" wrap="square" lIns="0" tIns="0" rIns="0" bIns="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 id="Form1" o:spid="_x0000_s1026" style="position:absolute;left:0;text-align:left;margin-left:1.8pt;margin-top:18.4pt;width:19.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" adj="-11796480,,5400" path="m,l21600,r,21600l,21600,,xe" filled="f" strokecolor="#3465a4" strokeweight=".35281mm">
                <v:stroke joinstyle="miter"/>
                <v:formulas/>
                <v:path arrowok="t" o:connecttype="custom" o:connectlocs="123825,0;247650,100013;123825,200025;0,100013" o:connectangles="270,0,90,180" textboxrect="0,0,21600,21600"/>
                <v:textbox inset="0,0,0,0">
                  <w:txbxContent>
                    <w:p w:rsidR="00CF1C63" w:rsidRDefault="00CF1C63">
                      <w:pPr>
                        <w:rPr>
                          <w:rFonts w:hint="eastAsia"/>
                        </w:rPr>
                      </w:pPr>
                    </w:p>
                  </w:txbxContent>
                </v:textbox>
              </v:shape>
            </w:pict>
          </mc:Fallback>
        </mc:AlternateContent>
      </w:r>
    </w:p>
    <w:p w:rsidR="00CF1C63" w:rsidRDefault="002E4DA2" w:rsidP="000D3A00">
      <w:pPr>
        <w:spacing w:after="120" w:line="360" w:lineRule="auto"/>
        <w:ind w:left="624"/>
        <w:jc w:val="both"/>
        <w:rPr>
          <w:rFonts w:hint="eastAsia"/>
        </w:rPr>
      </w:pPr>
      <w:r>
        <w:rPr>
          <w:rFonts w:ascii="Arial" w:hAnsi="Arial"/>
        </w:rPr>
        <w:t>Ich habe mehr als zwei unterhaltsberechtigte Kinder. Dieser Widerspruch und Antrag dient zudem der Sicherung meiner Rechte mit Blick auf erhebliche Zweifel daran, ob die Zuschläge für das dritte und jedes weitere Kin</w:t>
      </w:r>
      <w:r w:rsidR="001C1F27">
        <w:rPr>
          <w:rFonts w:ascii="Arial" w:hAnsi="Arial"/>
        </w:rPr>
        <w:t>d den verfassungsrechtlichen An</w:t>
      </w:r>
      <w:r>
        <w:rPr>
          <w:rFonts w:ascii="Arial" w:hAnsi="Arial"/>
        </w:rPr>
        <w:t>forderungen entsprechen. Insbesondere verweise ich auf die nach dem Beschluss des Bundesverfassungsgerichts vom 4. Mai 2020 (2 BvL 6/17) maßgeblichen Kriterien.</w:t>
      </w:r>
    </w:p>
    <w:p w:rsidR="00CF1C63" w:rsidRDefault="00CF1C63" w:rsidP="000D3A00">
      <w:pPr>
        <w:spacing w:after="120" w:line="360" w:lineRule="auto"/>
        <w:jc w:val="both"/>
        <w:rPr>
          <w:rFonts w:ascii="Arial" w:hAnsi="Arial"/>
        </w:rPr>
      </w:pPr>
    </w:p>
    <w:p w:rsidR="00CF1C63" w:rsidRDefault="002E4DA2" w:rsidP="000D3A00">
      <w:pPr>
        <w:spacing w:after="120" w:line="360" w:lineRule="auto"/>
        <w:jc w:val="both"/>
        <w:rPr>
          <w:rFonts w:ascii="Arial" w:hAnsi="Arial"/>
        </w:rPr>
      </w:pPr>
      <w:r>
        <w:rPr>
          <w:rFonts w:ascii="Arial" w:hAnsi="Arial"/>
        </w:rPr>
        <w:t>Aus diesen Entscheidungen ergeben sich Zweifel an der</w:t>
      </w:r>
      <w:r w:rsidR="001C1F27">
        <w:rPr>
          <w:rFonts w:ascii="Arial" w:hAnsi="Arial"/>
        </w:rPr>
        <w:t xml:space="preserve"> Verfassungsmäßigkeit der Besol</w:t>
      </w:r>
      <w:r>
        <w:rPr>
          <w:rFonts w:ascii="Arial" w:hAnsi="Arial"/>
        </w:rPr>
        <w:t>dung/Versorgung.</w:t>
      </w:r>
    </w:p>
    <w:p w:rsidR="00CF1C63" w:rsidRDefault="00CF1C63" w:rsidP="000D3A00">
      <w:pPr>
        <w:spacing w:after="120" w:line="360" w:lineRule="auto"/>
        <w:jc w:val="both"/>
        <w:rPr>
          <w:rFonts w:ascii="Arial" w:hAnsi="Arial"/>
        </w:rPr>
      </w:pPr>
    </w:p>
    <w:p w:rsidR="00CF1C63" w:rsidRDefault="002E4DA2" w:rsidP="000D3A00">
      <w:pPr>
        <w:spacing w:after="120" w:line="360" w:lineRule="auto"/>
        <w:jc w:val="both"/>
        <w:rPr>
          <w:rFonts w:ascii="Arial" w:hAnsi="Arial"/>
        </w:rPr>
      </w:pPr>
      <w:r>
        <w:rPr>
          <w:rFonts w:ascii="Arial" w:hAnsi="Arial"/>
        </w:rPr>
        <w:t>Die amtsangemessene Besoldung ist bereits Gegenstand von Musterverfahren bei dem Verwaltungsgericht Hamburg. Der Hamburgische Richterverein e.V. hatte bereits im Jahr 2008 empfohlen, Anträge auf amtsangemessene Besoldun</w:t>
      </w:r>
      <w:r w:rsidR="001C1F27">
        <w:rPr>
          <w:rFonts w:ascii="Arial" w:hAnsi="Arial"/>
        </w:rPr>
        <w:t>g zu stellen. Zahlreiche Richte</w:t>
      </w:r>
      <w:r>
        <w:rPr>
          <w:rFonts w:ascii="Arial" w:hAnsi="Arial"/>
        </w:rPr>
        <w:t xml:space="preserve">rinnen und Richter, Staatsanwältinnen und Staatsanwälte haben </w:t>
      </w:r>
      <w:r>
        <w:rPr>
          <w:rFonts w:ascii="Arial" w:hAnsi="Arial"/>
        </w:rPr>
        <w:lastRenderedPageBreak/>
        <w:t>daraufhin entsprechende Anträge gestellt. Mit dem Personalamt wurde abgespro</w:t>
      </w:r>
      <w:r w:rsidR="001C1F27">
        <w:rPr>
          <w:rFonts w:ascii="Arial" w:hAnsi="Arial"/>
        </w:rPr>
        <w:t>chen, dass über die amtsangemes</w:t>
      </w:r>
      <w:r>
        <w:rPr>
          <w:rFonts w:ascii="Arial" w:hAnsi="Arial"/>
        </w:rPr>
        <w:t xml:space="preserve">sene Besoldung Musterverfahren geführt werden. Der damalige Leiter des Personalamtes, Herr Dr. Bonorden, hat dem Hamburgischen Richterverein </w:t>
      </w:r>
      <w:r w:rsidR="001C1F27">
        <w:rPr>
          <w:rFonts w:ascii="Arial" w:hAnsi="Arial"/>
        </w:rPr>
        <w:t>e.V. bestätigt, dass die Verfah</w:t>
      </w:r>
      <w:r>
        <w:rPr>
          <w:rFonts w:ascii="Arial" w:hAnsi="Arial"/>
        </w:rPr>
        <w:t>rensabsprache in Bezug auf ruhende Verfahren auch für 2010 und die Folgejahre bis zum rechtskräftigen Abschluss der einvernehmlich ausgewählten Musterverfahren gilt und eine jährliche Fortschreibung der Anträge auf amtsangemes</w:t>
      </w:r>
      <w:r w:rsidR="001C1F27">
        <w:rPr>
          <w:rFonts w:ascii="Arial" w:hAnsi="Arial"/>
        </w:rPr>
        <w:t>sene Alimentation zur Rechtswah</w:t>
      </w:r>
      <w:r>
        <w:rPr>
          <w:rFonts w:ascii="Arial" w:hAnsi="Arial"/>
        </w:rPr>
        <w:t>rung nicht erforderlich ist. In der Bezügemitteilung für Dezember 2011 wurde dies nach meinem Verständnis auf alle Besoldungs-/Versorgu</w:t>
      </w:r>
      <w:r w:rsidR="001C1F27">
        <w:rPr>
          <w:rFonts w:ascii="Arial" w:hAnsi="Arial"/>
        </w:rPr>
        <w:t>ngsempfänger ausgedehnt und aus</w:t>
      </w:r>
      <w:r>
        <w:rPr>
          <w:rFonts w:ascii="Arial" w:hAnsi="Arial"/>
        </w:rPr>
        <w:t>drücklich auf die Einrede der Verjährung verzichtet.</w:t>
      </w:r>
    </w:p>
    <w:p w:rsidR="00CF1C63" w:rsidRDefault="002E4DA2" w:rsidP="000D3A00">
      <w:pPr>
        <w:spacing w:after="120" w:line="360" w:lineRule="auto"/>
        <w:jc w:val="both"/>
        <w:rPr>
          <w:rFonts w:ascii="Arial" w:hAnsi="Arial"/>
        </w:rPr>
      </w:pPr>
      <w:r>
        <w:rPr>
          <w:rFonts w:ascii="Arial" w:hAnsi="Arial"/>
        </w:rPr>
        <w:t>Im Vertrauen hierauf hatte ich für die zurückliegenden Jahre den Widersp</w:t>
      </w:r>
      <w:r w:rsidR="001C1F27">
        <w:rPr>
          <w:rFonts w:ascii="Arial" w:hAnsi="Arial"/>
        </w:rPr>
        <w:t>ruch nicht erho</w:t>
      </w:r>
      <w:r>
        <w:rPr>
          <w:rFonts w:ascii="Arial" w:hAnsi="Arial"/>
        </w:rPr>
        <w:t>ben bzw. den Antrag nicht gestellt.</w:t>
      </w:r>
    </w:p>
    <w:p w:rsidR="00CF1C63" w:rsidRDefault="002E4DA2" w:rsidP="000D3A00">
      <w:pPr>
        <w:spacing w:after="120" w:line="360" w:lineRule="auto"/>
        <w:jc w:val="both"/>
        <w:rPr>
          <w:rFonts w:ascii="Arial" w:hAnsi="Arial"/>
        </w:rPr>
      </w:pPr>
      <w:r>
        <w:rPr>
          <w:rFonts w:ascii="Arial" w:hAnsi="Arial"/>
        </w:rPr>
        <w:t>Vorsorglich ist deshalb im Hinblick auf meinen Widerspru</w:t>
      </w:r>
      <w:r w:rsidR="001C1F27">
        <w:rPr>
          <w:rFonts w:ascii="Arial" w:hAnsi="Arial"/>
        </w:rPr>
        <w:t>ch Wiedereinsetzung in den vori</w:t>
      </w:r>
      <w:r>
        <w:rPr>
          <w:rFonts w:ascii="Arial" w:hAnsi="Arial"/>
        </w:rPr>
        <w:t>gen Stand zu gewähren.</w:t>
      </w:r>
      <w:r w:rsidR="00A320FE">
        <w:rPr>
          <w:rFonts w:ascii="Arial" w:hAnsi="Arial"/>
        </w:rPr>
        <w:t xml:space="preserve"> Der Antrag auf Wiedereinsetzung und der Widerspruch/Antrag auf amtsangemessene Besoldung</w:t>
      </w:r>
      <w:r w:rsidR="00C44BB9">
        <w:rPr>
          <w:rFonts w:ascii="Arial" w:hAnsi="Arial"/>
        </w:rPr>
        <w:t>/Versorgung</w:t>
      </w:r>
      <w:r w:rsidR="00A320FE">
        <w:rPr>
          <w:rFonts w:ascii="Arial" w:hAnsi="Arial"/>
        </w:rPr>
        <w:t xml:space="preserve"> ist auch für frühere Jahre beachtlich, da der Antrag/die versäumte Handlung infolge höherer Gewalt unmöglich war. Denn die Versäumung beruhte auf einem treuwidrigen Verhalten des Dienstherrn, falls die erteilte Zusage nunmehr keine Wirkung für Folgejahre haben sollte.</w:t>
      </w:r>
    </w:p>
    <w:p w:rsidR="00CF1C63" w:rsidRDefault="002E4DA2" w:rsidP="000D3A00">
      <w:pPr>
        <w:spacing w:after="120" w:line="360" w:lineRule="auto"/>
        <w:jc w:val="both"/>
        <w:rPr>
          <w:rFonts w:ascii="Arial" w:hAnsi="Arial"/>
        </w:rPr>
      </w:pPr>
      <w:r>
        <w:rPr>
          <w:rFonts w:ascii="Arial" w:hAnsi="Arial"/>
        </w:rPr>
        <w:t xml:space="preserve">Im Hinblick auf den nunmehr mit der Bezügemitteilung </w:t>
      </w:r>
      <w:r w:rsidR="001C1F27">
        <w:rPr>
          <w:rFonts w:ascii="Arial" w:hAnsi="Arial"/>
        </w:rPr>
        <w:t>für Dezember 2020 erfolgten Hin</w:t>
      </w:r>
      <w:r>
        <w:rPr>
          <w:rFonts w:ascii="Arial" w:hAnsi="Arial"/>
        </w:rPr>
        <w:t>weis ist die vorsorgliche Erhebung des Widerspruchs/Stel</w:t>
      </w:r>
      <w:r w:rsidR="001C1F27">
        <w:rPr>
          <w:rFonts w:ascii="Arial" w:hAnsi="Arial"/>
        </w:rPr>
        <w:t>lung des Antrags - auch für frü</w:t>
      </w:r>
      <w:r>
        <w:rPr>
          <w:rFonts w:ascii="Arial" w:hAnsi="Arial"/>
        </w:rPr>
        <w:t>here Jahre - erforderlich.</w:t>
      </w:r>
    </w:p>
    <w:p w:rsidR="00CF1C63" w:rsidRDefault="002E4DA2" w:rsidP="000D3A00">
      <w:pPr>
        <w:spacing w:after="120" w:line="360" w:lineRule="auto"/>
        <w:jc w:val="both"/>
        <w:rPr>
          <w:rFonts w:ascii="Arial" w:hAnsi="Arial"/>
        </w:rPr>
      </w:pPr>
      <w:r>
        <w:rPr>
          <w:rFonts w:ascii="Arial" w:hAnsi="Arial"/>
        </w:rPr>
        <w:t>Gleichzeitig bitte ich, meinen Widerspruch/Antrag bis zur rechtskräftigen Entscheidung der anhängigen Musterverfahren ruhen zu lassen, auf die Ein</w:t>
      </w:r>
      <w:r w:rsidR="001C1F27">
        <w:rPr>
          <w:rFonts w:ascii="Arial" w:hAnsi="Arial"/>
        </w:rPr>
        <w:t>rede der Verjährung zu verzich</w:t>
      </w:r>
      <w:r>
        <w:rPr>
          <w:rFonts w:ascii="Arial" w:hAnsi="Arial"/>
        </w:rPr>
        <w:t>ten und mir dies schriftlich zu bestätigen.</w:t>
      </w:r>
    </w:p>
    <w:p w:rsidR="00CF1C63" w:rsidRDefault="00CF1C63" w:rsidP="000D3A00">
      <w:pPr>
        <w:spacing w:after="120" w:line="360" w:lineRule="auto"/>
        <w:jc w:val="both"/>
        <w:rPr>
          <w:rFonts w:ascii="Arial" w:hAnsi="Arial"/>
        </w:rPr>
      </w:pPr>
    </w:p>
    <w:p w:rsidR="00CF1C63" w:rsidRDefault="002E4DA2" w:rsidP="000D3A00">
      <w:pPr>
        <w:spacing w:after="120" w:line="360" w:lineRule="auto"/>
        <w:jc w:val="both"/>
        <w:rPr>
          <w:rFonts w:ascii="Arial" w:hAnsi="Arial"/>
        </w:rPr>
      </w:pPr>
      <w:r>
        <w:rPr>
          <w:rFonts w:ascii="Arial" w:hAnsi="Arial"/>
        </w:rPr>
        <w:t>Mit freundlichen Grüßen</w:t>
      </w:r>
    </w:p>
    <w:p w:rsidR="00CF1C63" w:rsidRDefault="00CF1C63" w:rsidP="000D3A00">
      <w:pPr>
        <w:spacing w:after="120" w:line="360" w:lineRule="auto"/>
        <w:jc w:val="both"/>
        <w:rPr>
          <w:rFonts w:ascii="Arial" w:hAnsi="Arial"/>
        </w:rPr>
      </w:pPr>
    </w:p>
    <w:p w:rsidR="000D3A00" w:rsidRDefault="000D3A00" w:rsidP="000D3A00">
      <w:pPr>
        <w:spacing w:after="120"/>
        <w:jc w:val="both"/>
        <w:rPr>
          <w:rFonts w:ascii="Arial" w:hAnsi="Arial"/>
        </w:rPr>
      </w:pPr>
      <w:r>
        <w:rPr>
          <w:rFonts w:ascii="Arial" w:hAnsi="Arial"/>
        </w:rPr>
        <w:t>……………………………..</w:t>
      </w:r>
    </w:p>
    <w:p w:rsidR="000D3A00" w:rsidRDefault="000D3A00" w:rsidP="000D3A00">
      <w:pPr>
        <w:spacing w:after="120"/>
        <w:jc w:val="both"/>
        <w:rPr>
          <w:rFonts w:ascii="Arial" w:hAnsi="Arial"/>
        </w:rPr>
      </w:pPr>
      <w:r>
        <w:rPr>
          <w:rFonts w:ascii="Arial" w:hAnsi="Arial"/>
        </w:rPr>
        <w:t>Unterschrift</w:t>
      </w:r>
    </w:p>
    <w:sectPr w:rsidR="000D3A00" w:rsidSect="001C1F27">
      <w:pgSz w:w="11906" w:h="16838"/>
      <w:pgMar w:top="1417"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106" w:rsidRDefault="002E4DA2">
      <w:pPr>
        <w:rPr>
          <w:rFonts w:hint="eastAsia"/>
        </w:rPr>
      </w:pPr>
      <w:r>
        <w:separator/>
      </w:r>
    </w:p>
  </w:endnote>
  <w:endnote w:type="continuationSeparator" w:id="0">
    <w:p w:rsidR="00FC4106" w:rsidRDefault="002E4DA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106" w:rsidRDefault="002E4DA2">
      <w:pPr>
        <w:rPr>
          <w:rFonts w:hint="eastAsia"/>
        </w:rPr>
      </w:pPr>
      <w:r>
        <w:rPr>
          <w:color w:val="000000"/>
        </w:rPr>
        <w:separator/>
      </w:r>
    </w:p>
  </w:footnote>
  <w:footnote w:type="continuationSeparator" w:id="0">
    <w:p w:rsidR="00FC4106" w:rsidRDefault="002E4DA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C63"/>
    <w:rsid w:val="000D3A00"/>
    <w:rsid w:val="001C1F27"/>
    <w:rsid w:val="002E4DA2"/>
    <w:rsid w:val="00400306"/>
    <w:rsid w:val="00811F46"/>
    <w:rsid w:val="00A320FE"/>
    <w:rsid w:val="00B46303"/>
    <w:rsid w:val="00C44BB9"/>
    <w:rsid w:val="00C812A5"/>
    <w:rsid w:val="00CF1C63"/>
    <w:rsid w:val="00EC7422"/>
    <w:rsid w:val="00FC41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773FDC-FFD8-41E0-8DF0-7158DFF0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kern w:val="3"/>
        <w:sz w:val="24"/>
        <w:szCs w:val="24"/>
        <w:lang w:val="de-DE"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3925</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Freie und Hansestadt Hamburg</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 Reiner Dr.</dc:creator>
  <cp:lastModifiedBy>Geffers, Nicole Dr.</cp:lastModifiedBy>
  <cp:revision>2</cp:revision>
  <dcterms:created xsi:type="dcterms:W3CDTF">2020-12-03T09:05:00Z</dcterms:created>
  <dcterms:modified xsi:type="dcterms:W3CDTF">2020-12-03T09:05:00Z</dcterms:modified>
</cp:coreProperties>
</file>